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3/SES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nalsanierung in den Teilorten Ober-/Unterberken in Schorn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sarbeiten in geschlossener Bauweis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